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color w:val="FF0000"/>
          <w:spacing w:val="120"/>
          <w:kern w:val="0"/>
          <w:sz w:val="144"/>
          <w:szCs w:val="144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>
        <w:rPr>
          <w:rFonts w:hint="eastAsia" w:ascii="宋体" w:hAnsi="宋体"/>
          <w:b/>
          <w:bCs/>
          <w:color w:val="FF3300"/>
          <w:spacing w:val="-40"/>
          <w:sz w:val="84"/>
          <w:szCs w:val="84"/>
        </w:rPr>
        <w:t>厦门国家会计学院</w:t>
      </w:r>
    </w:p>
    <w:p>
      <w:pPr>
        <w:spacing w:line="360" w:lineRule="auto"/>
        <w:rPr>
          <w:rFonts w:ascii="仿宋_GB2312" w:hAnsi="楷体" w:eastAsia="仿宋_GB2312" w:cs="楷体"/>
          <w:b/>
          <w:bCs/>
          <w:sz w:val="20"/>
          <w:szCs w:val="18"/>
        </w:rPr>
      </w:pPr>
      <w:r>
        <w:rPr>
          <w:rFonts w:ascii="仿宋_GB2312" w:eastAsia="仿宋_GB231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183515</wp:posOffset>
                </wp:positionV>
                <wp:extent cx="5461635" cy="13970"/>
                <wp:effectExtent l="0" t="0" r="24765" b="241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14.45pt;height:1.1pt;width:430.05pt;z-index:251659264;mso-width-relative:page;mso-height-relative:page;" filled="f" stroked="t" coordsize="21600,21600" o:gfxdata="UEsDBAoAAAAAAIdO4kAAAAAAAAAAAAAAAAAEAAAAZHJzL1BLAwQUAAAACACHTuJAEVvmCNUAAAAI&#10;AQAADwAAAGRycy9kb3ducmV2LnhtbE2PMU/DMBSEdyT+g/UqsbW2E4pCiNMBxMCC1AC7G7/GUePn&#10;KHaS8u8xE4ynO919Vx2ubmALTqH3pEDuBDCk1pueOgWfH6/bAliImowePKGCbwxwqG9vKl0av9IR&#10;lyZ2LJVQKLUCG+NYch5ai06HnR+Rknf2k9MxyanjZtJrKncDz4R44E73lBasHvHZYntpZqfgi/LZ&#10;v+1f7sXSHEedn9/X1aJSdxspnoBFvMa/MPziJ3SoE9PJz2QCGxRss3QlKsiKR2DJL/aFBHZSkEsJ&#10;vK74/wP1D1BLAwQUAAAACACHTuJAUJpuUtkBAACHAwAADgAAAGRycy9lMm9Eb2MueG1srVO7jhMx&#10;FO2R+AfLPZlJsgkwymSLjULDYyUeveNHxpLta9lOJvkJfgCJDipKev6G3c/Ya08IsDRbMIXl+zq+&#10;59w7i8uDNWQvQ9TgWjoe1ZRIx0Fot23p+3frJ88oiYk5wQw42dKjjPRy+fjRoveNnEAHRshAEMTF&#10;pvct7VLyTVVF3knL4gi8dBhUECxLaIZtJQLrEd2aalLX86qHIHwALmNE72oI0hNieAggKKW5XAHf&#10;WenSgBqkYQkpxU77SJelW6UkT2+UijIR01JkmsqJj+B9k89quWDNNjDfaX5qgT2khXucLNMOHz1D&#10;rVhiZBf0P1BW8wARVBpxsNVApCiCLMb1PW3edszLwgWljv4sevx/sPz1/joQLVo6pcQxiwO/+fT9&#10;58cvtz8+43nz7SuZZpF6HxvMvXLX4WRFj4Wb/hUIrGG7BIX/QQVLlNH+A+5W8SBHciiCH8+Cy0Mi&#10;HJ2zi/l4Pp1RwjE2nj5/WgZSsSbDZDl9iOmFBEvypaVGu6wHa9j+ZUzYCKb+SsluB2ttTJmpcaRv&#10;6WR2UdelIoLRIkdzXgzbzZUJZM9wLdbrGr9MEtH+Sguwc2LwG4fhLEKmPcixAXEsahQ/zqcAnHYp&#10;L8Cfdqn+/f8s7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RW+YI1QAAAAgBAAAPAAAAAAAAAAEA&#10;IAAAACIAAABkcnMvZG93bnJldi54bWxQSwECFAAUAAAACACHTuJAUJpuUtkBAACHAwAADgAAAAAA&#10;AAABACAAAAAkAQAAZHJzL2Uyb0RvYy54bWxQSwUGAAAAAAYABgBZAQAAbw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rPr>
          <w:rFonts w:ascii="仿宋_GB2312" w:hAnsi="楷体" w:eastAsia="仿宋_GB2312" w:cs="楷体"/>
          <w:b/>
          <w:bCs/>
          <w:sz w:val="20"/>
          <w:szCs w:val="18"/>
        </w:rPr>
      </w:pPr>
      <w:r>
        <w:rPr>
          <w:rFonts w:hint="eastAsia" w:ascii="黑体" w:hAnsi="黑体" w:eastAsia="黑体"/>
          <w:b/>
          <w:bCs/>
          <w:color w:val="000000"/>
          <w:sz w:val="38"/>
          <w:szCs w:val="38"/>
        </w:rPr>
        <w:t>关于举办“行政事业单位财会监督与财务综合能力提升”研修班的通知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各相关单位：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财会监督作为党和国家监督体系的重要组成部分，行政事业单位必须严肃财经纪律，健全财会监督体系，完善工作机制，提升财会监督效能，进一步加强对本单位经济业务、财务管理、会计行为的日常监督，结合自身实际建立权责清晰、约束有力的内部财会监督机制和内部控制体系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/>
          <w:sz w:val="28"/>
          <w:szCs w:val="28"/>
        </w:rPr>
        <w:t>此</w:t>
      </w:r>
      <w:r>
        <w:rPr>
          <w:rFonts w:hint="eastAsia" w:ascii="仿宋" w:hAnsi="仿宋" w:eastAsia="仿宋"/>
          <w:sz w:val="28"/>
          <w:szCs w:val="28"/>
        </w:rPr>
        <w:t>背景下，厦门国家会计学院充分</w:t>
      </w:r>
      <w:r>
        <w:rPr>
          <w:rFonts w:ascii="仿宋" w:hAnsi="仿宋" w:eastAsia="仿宋"/>
          <w:sz w:val="28"/>
          <w:szCs w:val="28"/>
        </w:rPr>
        <w:t>发挥</w:t>
      </w:r>
      <w:r>
        <w:rPr>
          <w:rFonts w:hint="eastAsia" w:ascii="仿宋" w:hAnsi="仿宋" w:eastAsia="仿宋"/>
          <w:sz w:val="28"/>
          <w:szCs w:val="28"/>
        </w:rPr>
        <w:t>高端培训、学位教育和智库建设“三位一体”的发展格局和办学模式的独特优势，配备权威政策制定专家学者以及丰富实践经验的实战派师资，2024年将举办“行政事业单位财会监督与财务综合能力提升”研修班课程，欢迎各有关单位报名参加。</w:t>
      </w:r>
    </w:p>
    <w:p>
      <w:pPr>
        <w:spacing w:line="500" w:lineRule="exact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firstLine="5880" w:firstLineChars="21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厦门国家会计学院</w:t>
      </w:r>
    </w:p>
    <w:p>
      <w:pPr>
        <w:spacing w:line="500" w:lineRule="exact"/>
        <w:ind w:firstLine="6440" w:firstLineChars="2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2024年1月</w:t>
      </w:r>
    </w:p>
    <w:p>
      <w:pPr>
        <w:pStyle w:val="9"/>
        <w:spacing w:line="500" w:lineRule="exact"/>
        <w:rPr>
          <w:rFonts w:ascii="宋体" w:hAnsi="宋体"/>
          <w:b/>
          <w:sz w:val="24"/>
          <w:szCs w:val="24"/>
        </w:rPr>
      </w:pPr>
    </w:p>
    <w:p>
      <w:pPr>
        <w:pStyle w:val="9"/>
        <w:spacing w:line="420" w:lineRule="exact"/>
        <w:rPr>
          <w:rFonts w:ascii="宋体" w:hAnsi="宋体"/>
          <w:b/>
          <w:sz w:val="24"/>
          <w:szCs w:val="24"/>
        </w:rPr>
      </w:pPr>
    </w:p>
    <w:p>
      <w:pPr>
        <w:pStyle w:val="9"/>
        <w:spacing w:line="420" w:lineRule="exact"/>
        <w:rPr>
          <w:rFonts w:ascii="宋体" w:hAnsi="宋体"/>
          <w:b/>
          <w:sz w:val="24"/>
          <w:szCs w:val="24"/>
        </w:rPr>
      </w:pPr>
    </w:p>
    <w:p>
      <w:pPr>
        <w:pStyle w:val="9"/>
        <w:spacing w:line="420" w:lineRule="exact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附件一：课程简介</w:t>
      </w:r>
    </w:p>
    <w:p>
      <w:pPr>
        <w:pStyle w:val="9"/>
        <w:spacing w:line="200" w:lineRule="exact"/>
        <w:rPr>
          <w:rFonts w:ascii="黑体" w:hAnsi="黑体" w:eastAsia="黑体"/>
          <w:b/>
          <w:sz w:val="28"/>
          <w:szCs w:val="28"/>
        </w:rPr>
      </w:pPr>
    </w:p>
    <w:p>
      <w:pPr>
        <w:pStyle w:val="9"/>
        <w:spacing w:line="420" w:lineRule="exact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一、培训安排</w:t>
      </w:r>
    </w:p>
    <w:p>
      <w:pPr>
        <w:pStyle w:val="9"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1.培训时间：2024年3月25日—29日（25日报到，29日返程）</w:t>
      </w:r>
    </w:p>
    <w:p>
      <w:pPr>
        <w:pStyle w:val="9"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2.培训地点：海口</w:t>
      </w:r>
    </w:p>
    <w:p>
      <w:pPr>
        <w:pStyle w:val="9"/>
        <w:spacing w:line="420" w:lineRule="exact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二、培训对象</w:t>
      </w:r>
    </w:p>
    <w:p>
      <w:pPr>
        <w:pStyle w:val="10"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1.各级行政事业单位及所属单位领导、部门负责人及相关管理人员；</w:t>
      </w:r>
      <w:r>
        <w:rPr>
          <w:rFonts w:hint="eastAsia" w:ascii="仿宋" w:hAnsi="仿宋" w:eastAsia="仿宋"/>
          <w:sz w:val="28"/>
          <w:szCs w:val="28"/>
        </w:rPr>
        <w:cr/>
      </w:r>
      <w:r>
        <w:rPr>
          <w:rFonts w:hint="eastAsia" w:ascii="仿宋" w:hAnsi="仿宋" w:eastAsia="仿宋"/>
          <w:sz w:val="28"/>
          <w:szCs w:val="28"/>
        </w:rPr>
        <w:t>2.各级行政事业单位总会计师、财务主管、财会骨干、审计处（科）、资产管理部等部门工作人员；</w:t>
      </w:r>
    </w:p>
    <w:p>
      <w:pPr>
        <w:pStyle w:val="10"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3.医院、高校等单位总会计师、财务主管、财会骨干、审计处（科）、资产管理部等部门工作人员。</w:t>
      </w:r>
    </w:p>
    <w:p>
      <w:pPr>
        <w:pStyle w:val="10"/>
        <w:spacing w:line="420" w:lineRule="exact"/>
        <w:rPr>
          <w:rFonts w:ascii="等线" w:hAnsi="等线" w:eastAsia="等线"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三、课程内容</w:t>
      </w:r>
    </w:p>
    <w:p>
      <w:pPr>
        <w:spacing w:line="420" w:lineRule="exact"/>
        <w:ind w:left="280" w:hanging="280" w:hangingChars="100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模块一、行政事业单位财会监督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1.中办国办《关于进一步加强财会监督工作的意见》解读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2.行政事业单位《会计法》《预算法》等法律法规执行情况及监督重点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3.行政事业单位财会监督体系及优化路径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4.财会监督在重点领域运用实践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（1）预算一体化与财会监督协同机制构建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（2）合理运用财会监督方法加强政府采购、国有资产管理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（3）构建经费收支的一体化财会监督机制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（4）财会监督机制运用行政事业单位重点经济活动实践案例</w:t>
      </w:r>
    </w:p>
    <w:p>
      <w:pPr>
        <w:spacing w:line="420" w:lineRule="exact"/>
        <w:ind w:left="280" w:hanging="280" w:hangingChars="100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模块二、新形势下行政事业单位财务管理创新与实践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1.新形势下行政事业单位会计职能拓展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2.行政事业单位会计监督体系与会计信息质量提升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3.行政事业单位重要的经济业务、财务收支及会计行为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4.行政事业单位管理会计理论和实务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5.行政事业单位如何推动财务数字化转型</w:t>
      </w:r>
    </w:p>
    <w:p>
      <w:pPr>
        <w:spacing w:line="420" w:lineRule="exact"/>
        <w:ind w:left="280" w:hanging="280" w:hangingChars="100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模块三、财会监督下的政府会计实务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1.《行政与事业单位财务规则》修订解析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2.如何统筹实施政府会计制度与新财务规则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3.财会监督视角下政府会计实务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（1）资产类会计核算与案例分析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（2）负债类会计核算与案例分析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（3）净资产类会计核算与案例分析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（4）收入及预算收入类会计核算与案例分析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（5）费用及支出会计核算与案例分析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</w:t>
      </w:r>
    </w:p>
    <w:p>
      <w:pPr>
        <w:spacing w:line="420" w:lineRule="exact"/>
        <w:ind w:left="280" w:hanging="280" w:hangingChars="1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4.政府财务报告的具体内容及编制要求</w:t>
      </w:r>
      <w:r>
        <w:rPr>
          <w:rFonts w:ascii="仿宋" w:hAnsi="仿宋" w:eastAsia="仿宋" w:cs="宋体"/>
          <w:b/>
          <w:bCs/>
          <w:kern w:val="0"/>
          <w:sz w:val="28"/>
          <w:szCs w:val="28"/>
        </w:rPr>
        <w:t xml:space="preserve"> </w:t>
      </w:r>
    </w:p>
    <w:p>
      <w:pPr>
        <w:spacing w:line="420" w:lineRule="exact"/>
        <w:ind w:left="280" w:hanging="280" w:hangingChars="100"/>
        <w:rPr>
          <w:rFonts w:ascii="等线" w:hAnsi="等线" w:eastAsia="等线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/>
          <w:kern w:val="0"/>
          <w:sz w:val="28"/>
          <w:szCs w:val="28"/>
        </w:rPr>
        <w:t>模块四、财会监督视角下行政事业单位内控管理</w:t>
      </w:r>
    </w:p>
    <w:p>
      <w:pPr>
        <w:spacing w:line="420" w:lineRule="exact"/>
        <w:rPr>
          <w:rFonts w:ascii="等线" w:hAnsi="等线" w:eastAsia="等线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1.《行政事业单位内部控制规范》解读</w:t>
      </w:r>
      <w:r>
        <w:rPr>
          <w:rFonts w:ascii="仿宋" w:hAnsi="仿宋" w:eastAsia="仿宋" w:cs="宋体"/>
          <w:kern w:val="0"/>
          <w:sz w:val="28"/>
          <w:szCs w:val="28"/>
        </w:rPr>
        <w:cr/>
      </w:r>
      <w:r>
        <w:rPr>
          <w:rFonts w:hint="eastAsia" w:ascii="仿宋" w:hAnsi="仿宋" w:eastAsia="仿宋" w:cs="宋体"/>
          <w:kern w:val="0"/>
          <w:sz w:val="28"/>
          <w:szCs w:val="28"/>
        </w:rPr>
        <w:t>2.内部财会监督机制和内部控制体系建设</w:t>
      </w:r>
      <w:r>
        <w:rPr>
          <w:rFonts w:ascii="仿宋" w:hAnsi="仿宋" w:eastAsia="仿宋" w:cs="宋体"/>
          <w:kern w:val="0"/>
          <w:sz w:val="28"/>
          <w:szCs w:val="28"/>
        </w:rPr>
        <w:cr/>
      </w:r>
      <w:r>
        <w:rPr>
          <w:rFonts w:hint="eastAsia" w:ascii="仿宋" w:hAnsi="仿宋" w:eastAsia="仿宋" w:cs="宋体"/>
          <w:kern w:val="0"/>
          <w:sz w:val="28"/>
          <w:szCs w:val="28"/>
        </w:rPr>
        <w:t>3.财会监督下单位层面内部控制重点</w:t>
      </w:r>
      <w:r>
        <w:rPr>
          <w:rFonts w:ascii="仿宋" w:hAnsi="仿宋" w:eastAsia="仿宋" w:cs="宋体"/>
          <w:kern w:val="0"/>
          <w:sz w:val="28"/>
          <w:szCs w:val="28"/>
        </w:rPr>
        <w:cr/>
      </w:r>
      <w:r>
        <w:rPr>
          <w:rFonts w:hint="eastAsia" w:ascii="仿宋" w:hAnsi="仿宋" w:eastAsia="仿宋" w:cs="宋体"/>
          <w:kern w:val="0"/>
          <w:sz w:val="28"/>
          <w:szCs w:val="28"/>
        </w:rPr>
        <w:t>4.财会监督下业务层面内部控制重点</w:t>
      </w:r>
      <w:r>
        <w:rPr>
          <w:rFonts w:ascii="仿宋" w:hAnsi="仿宋" w:eastAsia="仿宋" w:cs="宋体"/>
          <w:kern w:val="0"/>
          <w:sz w:val="28"/>
          <w:szCs w:val="28"/>
        </w:rPr>
        <w:cr/>
      </w:r>
      <w:r>
        <w:rPr>
          <w:rFonts w:hint="eastAsia" w:ascii="仿宋" w:hAnsi="仿宋" w:eastAsia="仿宋" w:cs="宋体"/>
          <w:kern w:val="0"/>
          <w:sz w:val="28"/>
          <w:szCs w:val="28"/>
        </w:rPr>
        <w:t>5.行政事业单位内部控制建设常见风险及应对</w:t>
      </w:r>
      <w:r>
        <w:rPr>
          <w:rFonts w:ascii="仿宋" w:hAnsi="仿宋" w:eastAsia="仿宋" w:cs="宋体"/>
          <w:kern w:val="0"/>
          <w:sz w:val="28"/>
          <w:szCs w:val="28"/>
        </w:rPr>
        <w:cr/>
      </w:r>
      <w:r>
        <w:rPr>
          <w:rFonts w:hint="eastAsia" w:ascii="等线" w:hAnsi="等线" w:eastAsia="等线" w:cs="宋体"/>
          <w:b/>
          <w:bCs/>
          <w:kern w:val="0"/>
          <w:sz w:val="28"/>
          <w:szCs w:val="28"/>
        </w:rPr>
        <w:t>模块五、聚焦预算和绩效一体化，全面推进预算绩效管理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1.预算和绩效管理一体化的实践探索与改革方向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2.全方位、全过程、全覆盖预算绩效管理的内涵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3.预算绩效管理深化改革的政策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4.“全过程”预算绩效管理实务操作及案例分析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（1）绩效前评估与评审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（2）绩效目标管理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（3）绩效评价指标与标准体系优化评价实务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（4）绩效运行监控的组织管理以及绩效监控重点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（5）高质量绩效评价工作方案撰写、审核与结果应用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（6）先进预算绩效管理经验与典型案例分析</w:t>
      </w:r>
    </w:p>
    <w:p>
      <w:pPr>
        <w:spacing w:line="420" w:lineRule="exac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5.项目支出、部门整体绩效管理要点与指标体系设计</w:t>
      </w:r>
    </w:p>
    <w:p>
      <w:pPr>
        <w:spacing w:line="420" w:lineRule="exact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四、师资力量</w:t>
      </w:r>
    </w:p>
    <w:p>
      <w:pPr>
        <w:pStyle w:val="9"/>
        <w:spacing w:line="4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所有课程由我院精心组织的专门师资团队授课，授课老师皆具有深厚理论功底及丰富实践经验；具体师资安排以课表为准。</w:t>
      </w:r>
    </w:p>
    <w:p>
      <w:pPr>
        <w:pStyle w:val="9"/>
        <w:spacing w:line="420" w:lineRule="exact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五、收费标准</w:t>
      </w:r>
    </w:p>
    <w:p>
      <w:pPr>
        <w:tabs>
          <w:tab w:val="left" w:pos="360"/>
          <w:tab w:val="left" w:pos="540"/>
        </w:tabs>
        <w:spacing w:line="4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培训费：3600元/人；</w:t>
      </w:r>
    </w:p>
    <w:p>
      <w:pPr>
        <w:pStyle w:val="9"/>
        <w:spacing w:line="42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食宿费用自理，具体标准以开课通知为准。</w:t>
      </w:r>
    </w:p>
    <w:p>
      <w:pPr>
        <w:pStyle w:val="9"/>
        <w:spacing w:line="420" w:lineRule="exact"/>
        <w:rPr>
          <w:rFonts w:ascii="等线" w:hAnsi="等线" w:eastAsia="等线"/>
          <w:b/>
          <w:sz w:val="28"/>
          <w:szCs w:val="28"/>
        </w:rPr>
      </w:pPr>
      <w:r>
        <w:rPr>
          <w:rFonts w:hint="eastAsia" w:ascii="等线" w:hAnsi="等线" w:eastAsia="等线"/>
          <w:b/>
          <w:sz w:val="28"/>
          <w:szCs w:val="28"/>
        </w:rPr>
        <w:t>六、结业证书</w:t>
      </w:r>
    </w:p>
    <w:p>
      <w:pPr>
        <w:pStyle w:val="9"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培训班结束后由厦门国家会计学院颁发结业证书。</w:t>
      </w:r>
    </w:p>
    <w:p>
      <w:pPr>
        <w:widowControl/>
        <w:spacing w:line="420" w:lineRule="exact"/>
        <w:jc w:val="left"/>
        <w:rPr>
          <w:rFonts w:ascii="等线" w:hAnsi="等线" w:eastAsia="等线"/>
          <w:b/>
          <w:color w:val="000000"/>
          <w:sz w:val="28"/>
          <w:szCs w:val="28"/>
        </w:rPr>
      </w:pPr>
      <w:r>
        <w:rPr>
          <w:rFonts w:hint="eastAsia" w:ascii="等线" w:hAnsi="等线" w:eastAsia="等线"/>
          <w:b/>
          <w:color w:val="000000"/>
          <w:sz w:val="28"/>
          <w:szCs w:val="28"/>
        </w:rPr>
        <w:t>七、报名咨询</w:t>
      </w:r>
    </w:p>
    <w:p>
      <w:pPr>
        <w:widowControl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杨斌</w:t>
      </w:r>
      <w:r>
        <w:rPr>
          <w:rFonts w:ascii="仿宋" w:hAnsi="仿宋" w:eastAsia="仿宋"/>
          <w:sz w:val="28"/>
          <w:szCs w:val="28"/>
        </w:rPr>
        <w:t xml:space="preserve">   电话：</w:t>
      </w:r>
      <w:r>
        <w:rPr>
          <w:rFonts w:hint="eastAsia" w:ascii="仿宋" w:hAnsi="仿宋" w:eastAsia="仿宋"/>
          <w:sz w:val="28"/>
          <w:szCs w:val="28"/>
        </w:rPr>
        <w:t>13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301321327</w:t>
      </w:r>
      <w:r>
        <w:rPr>
          <w:rFonts w:hint="eastAsia" w:ascii="仿宋" w:hAnsi="仿宋" w:eastAsia="仿宋"/>
          <w:sz w:val="28"/>
          <w:szCs w:val="28"/>
        </w:rPr>
        <w:t>（同微信）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/>
        <w:spacing w:line="42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报名邮箱：</w:t>
      </w:r>
      <w:r>
        <w:rPr>
          <w:rFonts w:hint="eastAsia" w:ascii="宋体" w:hAnsi="宋体" w:eastAsia="仿宋"/>
          <w:bCs/>
          <w:color w:val="000000"/>
          <w:sz w:val="28"/>
          <w:szCs w:val="28"/>
          <w:lang w:val="en-US" w:eastAsia="zh-CN"/>
        </w:rPr>
        <w:t>1365140028</w:t>
      </w:r>
      <w:r>
        <w:rPr>
          <w:rFonts w:hint="eastAsia" w:ascii="仿宋" w:hAnsi="仿宋" w:eastAsia="仿宋"/>
          <w:sz w:val="28"/>
          <w:szCs w:val="28"/>
        </w:rPr>
        <w:t>@</w:t>
      </w:r>
      <w:r>
        <w:rPr>
          <w:rFonts w:ascii="仿宋" w:hAnsi="仿宋" w:eastAsia="仿宋"/>
          <w:sz w:val="28"/>
          <w:szCs w:val="28"/>
        </w:rPr>
        <w:t>qq</w:t>
      </w:r>
      <w:r>
        <w:rPr>
          <w:rFonts w:hint="eastAsia" w:ascii="仿宋" w:hAnsi="仿宋" w:eastAsia="仿宋"/>
          <w:sz w:val="28"/>
          <w:szCs w:val="28"/>
        </w:rPr>
        <w:t>.com</w:t>
      </w:r>
    </w:p>
    <w:p>
      <w:pPr>
        <w:widowControl/>
        <w:spacing w:line="400" w:lineRule="exact"/>
        <w:rPr>
          <w:rFonts w:ascii="黑体" w:hAnsi="黑体" w:eastAsia="黑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2"/>
          <w:szCs w:val="32"/>
        </w:rPr>
        <w:t>附件二：</w:t>
      </w:r>
    </w:p>
    <w:p>
      <w:pPr>
        <w:widowControl/>
        <w:spacing w:line="400" w:lineRule="exact"/>
        <w:ind w:firstLine="3373" w:firstLineChars="1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ind w:firstLine="3373" w:firstLineChars="1200"/>
        <w:rPr>
          <w:rFonts w:ascii="黑体" w:hAnsi="黑体" w:eastAsia="黑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厦门国家会计学院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0"/>
          <w:szCs w:val="30"/>
        </w:rPr>
        <w:t>“行政事业单位财会监督与财务综合能力提升”研修班</w:t>
      </w:r>
    </w:p>
    <w:p>
      <w:pPr>
        <w:widowControl/>
        <w:spacing w:line="400" w:lineRule="exact"/>
        <w:jc w:val="center"/>
        <w:rPr>
          <w:rFonts w:ascii="黑体" w:hAnsi="黑体" w:eastAsia="黑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8"/>
          <w:szCs w:val="28"/>
        </w:rPr>
        <w:t>报名回执表</w:t>
      </w:r>
    </w:p>
    <w:tbl>
      <w:tblPr>
        <w:tblStyle w:val="7"/>
        <w:tblpPr w:leftFromText="180" w:rightFromText="180" w:vertAnchor="text" w:horzAnchor="page" w:tblpX="1455" w:tblpY="156"/>
        <w:tblOverlap w:val="never"/>
        <w:tblW w:w="9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1"/>
        <w:gridCol w:w="589"/>
        <w:gridCol w:w="715"/>
        <w:gridCol w:w="680"/>
        <w:gridCol w:w="851"/>
        <w:gridCol w:w="171"/>
        <w:gridCol w:w="537"/>
        <w:gridCol w:w="1134"/>
        <w:gridCol w:w="568"/>
        <w:gridCol w:w="223"/>
        <w:gridCol w:w="89"/>
        <w:gridCol w:w="681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spacing w:before="156" w:after="156"/>
              <w:rPr>
                <w:rFonts w:ascii="Arial" w:hAnsi="宋体"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820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b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b/>
                <w:color w:val="58595B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b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电话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b/>
                <w:color w:val="58595B"/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b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职务</w:t>
            </w: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电子邮箱</w:t>
            </w: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身份证号码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17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费用总计</w:t>
            </w:r>
          </w:p>
        </w:tc>
        <w:tc>
          <w:tcPr>
            <w:tcW w:w="46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万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szCs w:val="21"/>
              </w:rPr>
              <w:t xml:space="preserve"> 仟  佰  拾  元整 </w:t>
            </w:r>
            <w:r>
              <w:rPr>
                <w:rFonts w:ascii="仿宋" w:hAnsi="仿宋" w:eastAsia="仿宋" w:cs="宋体"/>
                <w:bCs/>
                <w:szCs w:val="21"/>
              </w:rPr>
              <w:t xml:space="preserve"> </w:t>
            </w:r>
          </w:p>
        </w:tc>
        <w:tc>
          <w:tcPr>
            <w:tcW w:w="7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小写</w:t>
            </w:r>
          </w:p>
        </w:tc>
        <w:tc>
          <w:tcPr>
            <w:tcW w:w="27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 w:firstLine="420" w:firstLineChars="200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szCs w:val="21"/>
              </w:rPr>
              <w:t>￥：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93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spacing w:line="276" w:lineRule="auto"/>
              <w:rPr>
                <w:rFonts w:ascii="仿宋" w:hAnsi="仿宋" w:eastAsia="仿宋" w:cs="宋体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Cs w:val="21"/>
              </w:rPr>
              <w:t>报名及汇款：</w:t>
            </w: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rPr>
                <w:rFonts w:ascii="仿宋" w:hAnsi="仿宋" w:eastAsia="仿宋" w:cs="宋体"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szCs w:val="21"/>
              </w:rPr>
              <w:t>报名表通过微信或邮件等方式发给课程顾问。开课前一周下发开课通知。确定开班后再将培训费电汇至厦门国家会计学院，汇款账号以开课通知为准。报名学员请以收到开课通知后再安排往返交通订票。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93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报名咨询：</w:t>
            </w:r>
          </w:p>
          <w:p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联系人：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 斌</w:t>
            </w:r>
            <w:r>
              <w:rPr>
                <w:rFonts w:ascii="宋体" w:hAnsi="宋体"/>
                <w:szCs w:val="21"/>
              </w:rPr>
              <w:t xml:space="preserve">   电话：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301321327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（同微信）</w:t>
            </w:r>
            <w:r>
              <w:rPr>
                <w:rFonts w:ascii="宋体" w:hAnsi="宋体"/>
                <w:szCs w:val="21"/>
              </w:rPr>
              <w:t xml:space="preserve">  报名邮箱：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1365140028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@</w:t>
            </w:r>
            <w:r>
              <w:rPr>
                <w:rFonts w:ascii="宋体" w:hAnsi="宋体" w:cs="宋体"/>
                <w:bCs/>
                <w:color w:val="000000"/>
                <w:szCs w:val="21"/>
              </w:rPr>
              <w:t>qq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.com</w:t>
            </w:r>
          </w:p>
        </w:tc>
      </w:tr>
    </w:tbl>
    <w:p>
      <w:pPr>
        <w:widowControl/>
        <w:tabs>
          <w:tab w:val="center" w:pos="4766"/>
          <w:tab w:val="left" w:pos="6716"/>
        </w:tabs>
        <w:spacing w:line="480" w:lineRule="exact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t>微信扫描下方二维码，添加招生老师微信，可在线咨询</w:t>
      </w:r>
    </w:p>
    <w:p>
      <w:pPr>
        <w:widowControl/>
        <w:tabs>
          <w:tab w:val="center" w:pos="4766"/>
          <w:tab w:val="left" w:pos="6716"/>
        </w:tabs>
        <w:spacing w:line="240" w:lineRule="auto"/>
      </w:pPr>
      <w:r>
        <w:rPr>
          <w:rFonts w:hint="default" w:ascii="仿宋" w:hAnsi="仿宋" w:eastAsia="仿宋" w:cs="仿宋"/>
          <w:b w:val="0"/>
          <w:bCs w:val="0"/>
          <w:color w:val="00000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298575" cy="1298575"/>
            <wp:effectExtent l="0" t="0" r="9525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iY2ZkZDRjODUyZDY0Yjk1ZmRiYWZhM2VmZjVlZWIifQ=="/>
  </w:docVars>
  <w:rsids>
    <w:rsidRoot w:val="00473973"/>
    <w:rsid w:val="000303A2"/>
    <w:rsid w:val="000506E5"/>
    <w:rsid w:val="00060F26"/>
    <w:rsid w:val="000D6A78"/>
    <w:rsid w:val="000F18CB"/>
    <w:rsid w:val="00110086"/>
    <w:rsid w:val="00201496"/>
    <w:rsid w:val="00223553"/>
    <w:rsid w:val="00227CC9"/>
    <w:rsid w:val="00243ED2"/>
    <w:rsid w:val="002C76AC"/>
    <w:rsid w:val="00301500"/>
    <w:rsid w:val="003045C5"/>
    <w:rsid w:val="00306C31"/>
    <w:rsid w:val="00307C9F"/>
    <w:rsid w:val="00325F7E"/>
    <w:rsid w:val="003451FA"/>
    <w:rsid w:val="00350461"/>
    <w:rsid w:val="00362F9D"/>
    <w:rsid w:val="0037208D"/>
    <w:rsid w:val="00393364"/>
    <w:rsid w:val="003C0EDC"/>
    <w:rsid w:val="003C5506"/>
    <w:rsid w:val="003E013C"/>
    <w:rsid w:val="003F7930"/>
    <w:rsid w:val="004179E2"/>
    <w:rsid w:val="00473973"/>
    <w:rsid w:val="004A1668"/>
    <w:rsid w:val="004B20F7"/>
    <w:rsid w:val="004F11D6"/>
    <w:rsid w:val="004F1ABD"/>
    <w:rsid w:val="005343B6"/>
    <w:rsid w:val="00543D6E"/>
    <w:rsid w:val="005525F1"/>
    <w:rsid w:val="00552CAC"/>
    <w:rsid w:val="005C41A1"/>
    <w:rsid w:val="005D319E"/>
    <w:rsid w:val="00647456"/>
    <w:rsid w:val="00697749"/>
    <w:rsid w:val="006A311A"/>
    <w:rsid w:val="006A7A43"/>
    <w:rsid w:val="006F1883"/>
    <w:rsid w:val="006F41AA"/>
    <w:rsid w:val="006F49C3"/>
    <w:rsid w:val="007255F8"/>
    <w:rsid w:val="00735A53"/>
    <w:rsid w:val="00755A3A"/>
    <w:rsid w:val="007676C0"/>
    <w:rsid w:val="007733E9"/>
    <w:rsid w:val="00785600"/>
    <w:rsid w:val="007F5B59"/>
    <w:rsid w:val="00802994"/>
    <w:rsid w:val="00864166"/>
    <w:rsid w:val="008A7E61"/>
    <w:rsid w:val="00904947"/>
    <w:rsid w:val="009B6969"/>
    <w:rsid w:val="009C5F55"/>
    <w:rsid w:val="009F4F9D"/>
    <w:rsid w:val="00A03FD8"/>
    <w:rsid w:val="00A15EEF"/>
    <w:rsid w:val="00A77110"/>
    <w:rsid w:val="00AA6EF6"/>
    <w:rsid w:val="00AB579B"/>
    <w:rsid w:val="00B320B4"/>
    <w:rsid w:val="00B53EC0"/>
    <w:rsid w:val="00B62F11"/>
    <w:rsid w:val="00B77C83"/>
    <w:rsid w:val="00B870E8"/>
    <w:rsid w:val="00BB4C57"/>
    <w:rsid w:val="00BD3BA8"/>
    <w:rsid w:val="00C14094"/>
    <w:rsid w:val="00C23ED0"/>
    <w:rsid w:val="00C70035"/>
    <w:rsid w:val="00C9427C"/>
    <w:rsid w:val="00CB159D"/>
    <w:rsid w:val="00CD1655"/>
    <w:rsid w:val="00CD5441"/>
    <w:rsid w:val="00D8471F"/>
    <w:rsid w:val="00D95E65"/>
    <w:rsid w:val="00E12A8D"/>
    <w:rsid w:val="00E340AC"/>
    <w:rsid w:val="00E532DC"/>
    <w:rsid w:val="00ED4E5A"/>
    <w:rsid w:val="00F3445A"/>
    <w:rsid w:val="00F42B42"/>
    <w:rsid w:val="00F434A3"/>
    <w:rsid w:val="00F742EC"/>
    <w:rsid w:val="00F9679C"/>
    <w:rsid w:val="00FD09D8"/>
    <w:rsid w:val="00FE5816"/>
    <w:rsid w:val="00FF29A8"/>
    <w:rsid w:val="01A85D51"/>
    <w:rsid w:val="02DA018C"/>
    <w:rsid w:val="03BC40F4"/>
    <w:rsid w:val="05FA26C5"/>
    <w:rsid w:val="06DD024B"/>
    <w:rsid w:val="07230354"/>
    <w:rsid w:val="07762B7A"/>
    <w:rsid w:val="07D653C6"/>
    <w:rsid w:val="0B0C7351"/>
    <w:rsid w:val="0C2B1A59"/>
    <w:rsid w:val="0C3A7A4C"/>
    <w:rsid w:val="0C851169"/>
    <w:rsid w:val="0DBE2B84"/>
    <w:rsid w:val="0EBF671D"/>
    <w:rsid w:val="0FAD1102"/>
    <w:rsid w:val="0FC92877"/>
    <w:rsid w:val="0FFF7484"/>
    <w:rsid w:val="10A5627E"/>
    <w:rsid w:val="10B7591C"/>
    <w:rsid w:val="115D26B4"/>
    <w:rsid w:val="11C049F1"/>
    <w:rsid w:val="12620737"/>
    <w:rsid w:val="1340403C"/>
    <w:rsid w:val="134E6759"/>
    <w:rsid w:val="13685340"/>
    <w:rsid w:val="14852DC6"/>
    <w:rsid w:val="1550654F"/>
    <w:rsid w:val="155D0ED5"/>
    <w:rsid w:val="156264EB"/>
    <w:rsid w:val="15C727F2"/>
    <w:rsid w:val="16351E52"/>
    <w:rsid w:val="16A11295"/>
    <w:rsid w:val="16A448E1"/>
    <w:rsid w:val="18E831AB"/>
    <w:rsid w:val="19292573"/>
    <w:rsid w:val="192D5062"/>
    <w:rsid w:val="1A5127A5"/>
    <w:rsid w:val="1A7626D5"/>
    <w:rsid w:val="1C073948"/>
    <w:rsid w:val="1CC23D13"/>
    <w:rsid w:val="1ECB5101"/>
    <w:rsid w:val="1ED16490"/>
    <w:rsid w:val="1EE72CC6"/>
    <w:rsid w:val="1FEA7809"/>
    <w:rsid w:val="204A474C"/>
    <w:rsid w:val="23452FA8"/>
    <w:rsid w:val="235A4CA6"/>
    <w:rsid w:val="23EE3640"/>
    <w:rsid w:val="24B402CF"/>
    <w:rsid w:val="24B92E91"/>
    <w:rsid w:val="255120D8"/>
    <w:rsid w:val="267C3185"/>
    <w:rsid w:val="26B55C1C"/>
    <w:rsid w:val="2A157B78"/>
    <w:rsid w:val="2C504E98"/>
    <w:rsid w:val="2C5524AE"/>
    <w:rsid w:val="2EEB0EA8"/>
    <w:rsid w:val="2EFE0BDB"/>
    <w:rsid w:val="316B29F0"/>
    <w:rsid w:val="31905D36"/>
    <w:rsid w:val="31955A61"/>
    <w:rsid w:val="366D4898"/>
    <w:rsid w:val="36EC1C61"/>
    <w:rsid w:val="37CD3840"/>
    <w:rsid w:val="38156F95"/>
    <w:rsid w:val="397C25C4"/>
    <w:rsid w:val="39CE38A0"/>
    <w:rsid w:val="3A281202"/>
    <w:rsid w:val="3AA91070"/>
    <w:rsid w:val="3C8D7A42"/>
    <w:rsid w:val="3D5642D8"/>
    <w:rsid w:val="3D6307DC"/>
    <w:rsid w:val="3DAE5EC2"/>
    <w:rsid w:val="3E133F77"/>
    <w:rsid w:val="3E6D1A7C"/>
    <w:rsid w:val="3F471787"/>
    <w:rsid w:val="3FD15E98"/>
    <w:rsid w:val="40C96B6F"/>
    <w:rsid w:val="41B94E35"/>
    <w:rsid w:val="43083068"/>
    <w:rsid w:val="430F4583"/>
    <w:rsid w:val="44366C11"/>
    <w:rsid w:val="44A91191"/>
    <w:rsid w:val="457547D6"/>
    <w:rsid w:val="45E85CE9"/>
    <w:rsid w:val="477409B2"/>
    <w:rsid w:val="477C2B8D"/>
    <w:rsid w:val="47B42327"/>
    <w:rsid w:val="49DA0AA2"/>
    <w:rsid w:val="4A7A4328"/>
    <w:rsid w:val="4D1B2F7F"/>
    <w:rsid w:val="4DC25072"/>
    <w:rsid w:val="4DEC7D8E"/>
    <w:rsid w:val="4E1F24C4"/>
    <w:rsid w:val="4F20650C"/>
    <w:rsid w:val="4F7800DE"/>
    <w:rsid w:val="501D5872"/>
    <w:rsid w:val="504970D9"/>
    <w:rsid w:val="51780092"/>
    <w:rsid w:val="53A8620A"/>
    <w:rsid w:val="53FB3CD3"/>
    <w:rsid w:val="545804DE"/>
    <w:rsid w:val="554C1DF1"/>
    <w:rsid w:val="55611AFF"/>
    <w:rsid w:val="57EE53E1"/>
    <w:rsid w:val="58BF0B2C"/>
    <w:rsid w:val="59B2243E"/>
    <w:rsid w:val="5A085BDF"/>
    <w:rsid w:val="5A2C21F1"/>
    <w:rsid w:val="5A7E53ED"/>
    <w:rsid w:val="5ADC59C5"/>
    <w:rsid w:val="5E3873B6"/>
    <w:rsid w:val="5ED52E57"/>
    <w:rsid w:val="5FF7133E"/>
    <w:rsid w:val="60F577E0"/>
    <w:rsid w:val="611F2AAF"/>
    <w:rsid w:val="61CF794A"/>
    <w:rsid w:val="639A01CB"/>
    <w:rsid w:val="64122457"/>
    <w:rsid w:val="6545060B"/>
    <w:rsid w:val="67177D85"/>
    <w:rsid w:val="68354B33"/>
    <w:rsid w:val="68C61A62"/>
    <w:rsid w:val="69E93E24"/>
    <w:rsid w:val="6A1A3E14"/>
    <w:rsid w:val="6A372C18"/>
    <w:rsid w:val="6B247802"/>
    <w:rsid w:val="6B321631"/>
    <w:rsid w:val="6CC1336D"/>
    <w:rsid w:val="6D055F72"/>
    <w:rsid w:val="6EBE3907"/>
    <w:rsid w:val="6F603069"/>
    <w:rsid w:val="6FB72105"/>
    <w:rsid w:val="70DC0075"/>
    <w:rsid w:val="711F6624"/>
    <w:rsid w:val="724E6D50"/>
    <w:rsid w:val="732775A1"/>
    <w:rsid w:val="73F12089"/>
    <w:rsid w:val="76A8739E"/>
    <w:rsid w:val="78011451"/>
    <w:rsid w:val="789307F3"/>
    <w:rsid w:val="78BE4504"/>
    <w:rsid w:val="793754E9"/>
    <w:rsid w:val="79A30953"/>
    <w:rsid w:val="7B50691D"/>
    <w:rsid w:val="7B5D6256"/>
    <w:rsid w:val="7C6158D2"/>
    <w:rsid w:val="7D652911"/>
    <w:rsid w:val="7DB303AF"/>
    <w:rsid w:val="7DD722F0"/>
    <w:rsid w:val="7F36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页眉 字符"/>
    <w:basedOn w:val="8"/>
    <w:link w:val="6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字符"/>
    <w:basedOn w:val="8"/>
    <w:link w:val="5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726CB1-0C95-4D7F-8EC0-B81C1BAF9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292</Words>
  <Characters>1667</Characters>
  <Lines>13</Lines>
  <Paragraphs>3</Paragraphs>
  <TotalTime>0</TotalTime>
  <ScaleCrop>false</ScaleCrop>
  <LinksUpToDate>false</LinksUpToDate>
  <CharactersWithSpaces>1956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2023-05-10T07:42:00Z</dcterms:created>
  <dc:creator>Administrator</dc:creator>
  <cp:lastModifiedBy>WPS_1503554162</cp:lastModifiedBy>
  <dcterms:modified xsi:type="dcterms:W3CDTF">2024-03-11T02:23:11Z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76629046BDBC4157819CDC8A32D8E185_13</vt:lpwstr>
  </property>
</Properties>
</file>